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7"/>
        <w:gridCol w:w="1417"/>
      </w:tblGrid>
      <w:tr>
        <w:trPr>
          <w:trHeight w:val="1984" w:hRule="atLeast"/>
        </w:trPr>
        <w:tc>
          <w:tcPr>
            <w:tcW w:type="dxa" w:w="9127"/>
            <w:tcMar>
              <w:top w:w="0" w:type="dxa"/>
              <w:start w:w="0" w:type="dxa"/>
              <w:bottom w:w="0" w:type="dxa"/>
              <w:end w:w="80" w:type="dxa"/>
              <w:left w:w="50" w:type="dxa"/>
              <w:right w:w="3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keepNext w:val="0"/>
              <w:keepLines/>
              <w:widowControl/>
              <w:spacing w:before="0" w:after="0" w:line="240" w:lineRule="auto"/>
            </w:pPr>
            <w:r>
              <w:rPr>
                <w:rFonts w:ascii="Arial" w:hAnsi="Arial" w:eastAsia="Microsoft YaHei" w:cs="Arial"/>
                <w:b/>
                <w:color w:val="1F7A83"/>
                <w:sz w:val="50"/>
              </w:rPr>
              <w:t>姓名</w:t>
            </w:r>
          </w:p>
          <w:p>
            <w:pPr>
              <w:keepNext w:val="0"/>
              <w:keepLines/>
              <w:widowControl/>
              <w:spacing w:before="40" w:after="0" w:line="240" w:lineRule="auto"/>
            </w:pPr>
            <w:r>
              <w:rPr>
                <w:rFonts w:ascii="Arial" w:hAnsi="Arial" w:eastAsia="Microsoft YaHei" w:cs="Arial"/>
                <w:b/>
                <w:color w:val="202124"/>
                <w:sz w:val="22"/>
              </w:rPr>
              <w:t>机械研发｜CAE / 多物理场仿真｜CFD / 热流体｜仿真自动化</w:t>
            </w:r>
          </w:p>
          <w:p>
            <w:pPr>
              <w:keepNext w:val="0"/>
              <w:keepLines/>
              <w:widowControl/>
              <w:spacing w:before="50" w:after="0" w:line="240" w:lineRule="auto"/>
            </w:pPr>
            <w:r>
              <w:rPr>
                <w:rFonts w:ascii="Arial" w:hAnsi="Arial" w:eastAsia="Microsoft YaHei" w:cs="Arial"/>
                <w:b w:val="0"/>
                <w:color w:val="5F6368"/>
                <w:sz w:val="20"/>
              </w:rPr>
              <w:t>手机：__________  |  邮箱：________________________  |  求职地点：上海</w:t>
            </w:r>
          </w:p>
        </w:tc>
        <w:tc>
          <w:tcPr>
            <w:tcW w:type="dxa" w:w="1417"/>
            <w:tcMar>
              <w:top w:w="0" w:type="dxa"/>
              <w:start w:w="80" w:type="dxa"/>
              <w:bottom w:w="0" w:type="dxa"/>
              <w:end w:w="0" w:type="dxa"/>
              <w:left w:w="30" w:type="dxa"/>
              <w:right w:w="30" w:type="dxa"/>
            </w:tcMar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  <w:insideH w:val="nil"/>
              <w:insideV w:val="nil"/>
            </w:tcBorders>
            <w:vAlign w:val="center"/>
          </w:tcPr>
          <w:p>
            <w:pPr>
              <w:keepNext w:val="0"/>
              <w:keepLines/>
              <w:widowControl/>
              <w:spacing w:before="0" w:after="0" w:line="240" w:lineRule="auto"/>
              <w:jc w:val="center"/>
            </w:pPr>
            <w:r>
              <w:rPr>
                <w:rFonts w:ascii="Arial" w:hAnsi="Arial" w:eastAsia="Microsoft YaHei" w:cs="Arial"/>
                <w:b w:val="0"/>
                <w:color w:val="8A9698"/>
                <w:sz w:val="17"/>
              </w:rPr>
              <w:t>职业照</w:t>
              <w:br/>
              <w:t>（待替换）</w:t>
            </w:r>
          </w:p>
        </w:tc>
      </w:tr>
    </w:tbl>
    <w:p>
      <w:pPr>
        <w:keepNext w:val="0"/>
        <w:spacing w:before="0" w:after="0" w:line="192" w:lineRule="auto"/>
        <w:pBdr>
          <w:bottom w:val="single" w:sz="10" w:space="0" w:color="1F7A83"/>
        </w:pBdr>
      </w:pPr>
    </w:p>
    <w:p>
      <w:pPr>
        <w:keepNext/>
        <w:spacing w:before="70" w:after="56" w:line="240" w:lineRule="auto"/>
        <w:keepLines/>
        <w:widowControl/>
        <w:pBdr>
          <w:bottom w:val="single" w:sz="4" w:space="2" w:color="4F9E9A"/>
        </w:pBdr>
      </w:pPr>
      <w:r>
        <w:rPr>
          <w:rFonts w:ascii="Arial" w:hAnsi="Arial" w:eastAsia="Microsoft YaHei" w:cs="Arial"/>
          <w:b/>
          <w:color w:val="1F7A83"/>
          <w:sz w:val="26"/>
        </w:rPr>
        <w:t>教育背景</w:t>
      </w:r>
    </w:p>
    <w:p>
      <w:pPr>
        <w:keepNext w:val="0"/>
        <w:keepLines/>
        <w:widowControl/>
        <w:spacing w:before="20" w:after="20" w:line="247" w:lineRule="auto"/>
      </w:pPr>
      <w:r>
        <w:rPr>
          <w:rFonts w:ascii="Arial" w:hAnsi="Arial" w:eastAsia="Microsoft YaHei" w:cs="Arial"/>
          <w:b/>
          <w:color w:val="202124"/>
          <w:sz w:val="21"/>
        </w:rPr>
        <w:t>同济大学  机械与能源工程学院</w:t>
      </w:r>
      <w:r>
        <w:rPr>
          <w:rFonts w:ascii="Arial" w:hAnsi="Arial" w:eastAsia="Microsoft YaHei" w:cs="Arial"/>
          <w:b w:val="0"/>
          <w:color w:val="202124"/>
          <w:sz w:val="21"/>
        </w:rPr>
        <w:t xml:space="preserve">  |  机械工程 博士研究生（在读）｜预计2027毕业</w:t>
      </w:r>
    </w:p>
    <w:p>
      <w:pPr>
        <w:keepNext w:val="0"/>
        <w:keepLines/>
        <w:widowControl/>
        <w:spacing w:before="20" w:after="20" w:line="247" w:lineRule="auto"/>
      </w:pPr>
      <w:r>
        <w:rPr>
          <w:rFonts w:ascii="Arial" w:hAnsi="Arial" w:eastAsia="Microsoft YaHei" w:cs="Arial"/>
          <w:b/>
          <w:color w:val="202124"/>
          <w:sz w:val="21"/>
        </w:rPr>
        <w:t>米兰理工大学（Politecnico di Milano）</w:t>
      </w:r>
      <w:r>
        <w:rPr>
          <w:rFonts w:ascii="Arial" w:hAnsi="Arial" w:eastAsia="Microsoft YaHei" w:cs="Arial"/>
          <w:b w:val="0"/>
          <w:color w:val="202124"/>
          <w:sz w:val="21"/>
        </w:rPr>
        <w:t xml:space="preserve">  |  博士生访学  |  2025.03–2025.07</w:t>
      </w:r>
    </w:p>
    <w:p>
      <w:pPr>
        <w:keepNext w:val="0"/>
        <w:keepLines/>
        <w:widowControl/>
        <w:spacing w:before="20" w:after="20" w:line="247" w:lineRule="auto"/>
      </w:pPr>
      <w:r>
        <w:rPr>
          <w:rFonts w:ascii="Arial" w:hAnsi="Arial" w:eastAsia="Microsoft YaHei" w:cs="Arial"/>
          <w:b/>
          <w:color w:val="202124"/>
          <w:sz w:val="21"/>
        </w:rPr>
        <w:t>上海海事大学</w:t>
      </w:r>
      <w:r>
        <w:rPr>
          <w:rFonts w:ascii="Arial" w:hAnsi="Arial" w:eastAsia="Microsoft YaHei" w:cs="Arial"/>
          <w:b w:val="0"/>
          <w:color w:val="202124"/>
          <w:sz w:val="21"/>
        </w:rPr>
        <w:t xml:space="preserve">  |  机械类 本科  |  2021届</w:t>
      </w:r>
    </w:p>
    <w:p>
      <w:pPr>
        <w:keepNext/>
        <w:spacing w:before="100" w:after="56" w:line="240" w:lineRule="auto"/>
        <w:keepLines/>
        <w:widowControl/>
        <w:pBdr>
          <w:bottom w:val="single" w:sz="4" w:space="2" w:color="4F9E9A"/>
        </w:pBdr>
      </w:pPr>
      <w:r>
        <w:rPr>
          <w:rFonts w:ascii="Arial" w:hAnsi="Arial" w:eastAsia="Microsoft YaHei" w:cs="Arial"/>
          <w:b/>
          <w:color w:val="1F7A83"/>
          <w:sz w:val="26"/>
        </w:rPr>
        <w:t>专业技能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>• CAE / 多物理场：</w:t>
      </w:r>
      <w:r>
        <w:rPr>
          <w:rFonts w:ascii="Arial" w:hAnsi="Arial" w:eastAsia="Microsoft YaHei" w:cs="Arial"/>
          <w:b w:val="0"/>
          <w:sz w:val="21"/>
        </w:rPr>
        <w:t>ANSYS Mechanical/APDL；结构强度、接触非线性、薄壁变形、瞬态/冲击、电-热-结构耦合及参数化有限元。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>• CFD / 热流体：</w:t>
      </w:r>
      <w:r>
        <w:rPr>
          <w:rFonts w:ascii="Arial" w:hAnsi="Arial" w:eastAsia="Microsoft YaHei" w:cs="Arial"/>
          <w:b w:val="0"/>
          <w:sz w:val="21"/>
        </w:rPr>
        <w:t>ANSYS Fluent；内/外流场、湍流、气液多相流、流动-传热/传质耦合，具备百万级复杂工程网格经验。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>• 仿真自动化：</w:t>
      </w:r>
      <w:r>
        <w:rPr>
          <w:rFonts w:ascii="Arial" w:hAnsi="Arial" w:eastAsia="Microsoft YaHei" w:cs="Arial"/>
          <w:b w:val="0"/>
          <w:sz w:val="21"/>
        </w:rPr>
        <w:t>APDL二次开发、MATLAB、SIMULINK；参数化建模、自动求解/后处理、优化及快速工程计算工具开发。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>• CAD / 可视化：</w:t>
      </w:r>
      <w:r>
        <w:rPr>
          <w:rFonts w:ascii="Arial" w:hAnsi="Arial" w:eastAsia="Microsoft YaHei" w:cs="Arial"/>
          <w:b w:val="0"/>
          <w:sz w:val="21"/>
        </w:rPr>
        <w:t>SolidWorks、AutoCAD、Inventor；三维机械建模与工程制图；KeyShot、3ds Max工程可视化。</w:t>
      </w:r>
    </w:p>
    <w:p>
      <w:pPr>
        <w:keepNext/>
        <w:spacing w:before="100" w:after="56" w:line="240" w:lineRule="auto"/>
        <w:keepLines/>
        <w:widowControl/>
        <w:pBdr>
          <w:bottom w:val="single" w:sz="4" w:space="2" w:color="4F9E9A"/>
        </w:pBdr>
      </w:pPr>
      <w:r>
        <w:rPr>
          <w:rFonts w:ascii="Arial" w:hAnsi="Arial" w:eastAsia="Microsoft YaHei" w:cs="Arial"/>
          <w:b/>
          <w:color w:val="1F7A83"/>
          <w:sz w:val="26"/>
        </w:rPr>
        <w:t>科研与工程项目</w:t>
      </w:r>
    </w:p>
    <w:p>
      <w:pPr>
        <w:keepNext/>
        <w:keepLines/>
        <w:widowControl/>
        <w:spacing w:before="64" w:after="24" w:line="245" w:lineRule="auto"/>
      </w:pPr>
      <w:r>
        <w:rPr>
          <w:rFonts w:ascii="Arial" w:hAnsi="Arial" w:eastAsia="Microsoft YaHei" w:cs="Arial"/>
          <w:b/>
          <w:color w:val="202124"/>
          <w:sz w:val="21"/>
        </w:rPr>
        <w:t>复杂薄壁装配系统公差与可靠性建模</w:t>
      </w:r>
      <w:r>
        <w:rPr>
          <w:rFonts w:ascii="Arial" w:hAnsi="Arial" w:eastAsia="Microsoft YaHei" w:cs="Arial"/>
          <w:b w:val="0"/>
          <w:color w:val="5F6368"/>
          <w:sz w:val="21"/>
        </w:rPr>
        <w:t xml:space="preserve">  |  博士核心研究｜ANSYS/APDL · MATLAB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 xml:space="preserve">• </w:t>
      </w:r>
      <w:r>
        <w:rPr>
          <w:rFonts w:ascii="Arial" w:hAnsi="Arial" w:eastAsia="Microsoft YaHei" w:cs="Arial"/>
          <w:b w:val="0"/>
          <w:sz w:val="21"/>
        </w:rPr>
        <w:t>面向柔性薄壁装配系统，建立“偏差传播 → 结构变形 → 接触状态 → 性能预测 → 选择性装配优化”分析链，以PEMFC电堆为主要验证对象。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 xml:space="preserve">• </w:t>
      </w:r>
      <w:r>
        <w:rPr>
          <w:rFonts w:ascii="Arial" w:hAnsi="Arial" w:eastAsia="Microsoft YaHei" w:cs="Arial"/>
          <w:b w:val="0"/>
          <w:sz w:val="21"/>
        </w:rPr>
        <w:t>开发参数化有限元、半解析与统计优化模型，并结合有限元/试验验证，实现装配偏差定量分析与方案优化。</w:t>
      </w:r>
    </w:p>
    <w:p>
      <w:pPr>
        <w:keepNext/>
        <w:keepLines/>
        <w:widowControl/>
        <w:spacing w:before="64" w:after="24" w:line="245" w:lineRule="auto"/>
      </w:pPr>
      <w:r>
        <w:rPr>
          <w:rFonts w:ascii="Arial" w:hAnsi="Arial" w:eastAsia="Microsoft YaHei" w:cs="Arial"/>
          <w:b/>
          <w:color w:val="202124"/>
          <w:sz w:val="21"/>
        </w:rPr>
        <w:t>核电厂变电设施环境风场 CFD 与抗台风强度分析</w:t>
      </w:r>
      <w:r>
        <w:rPr>
          <w:rFonts w:ascii="Arial" w:hAnsi="Arial" w:eastAsia="Microsoft YaHei" w:cs="Arial"/>
          <w:b w:val="0"/>
          <w:color w:val="5F6368"/>
          <w:sz w:val="21"/>
        </w:rPr>
        <w:t xml:space="preserve">  |  中广核｜Fluent · 外流场 · 结构强度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 xml:space="preserve">• </w:t>
      </w:r>
      <w:r>
        <w:rPr>
          <w:rFonts w:ascii="Arial" w:hAnsi="Arial" w:eastAsia="Microsoft YaHei" w:cs="Arial"/>
          <w:b w:val="0"/>
          <w:sz w:val="21"/>
        </w:rPr>
        <w:t>完成6台主变、2台厂变及周边建筑群三维建模，划分约750万流体网格；采用Realizable k-ε模型完成整场强风CFD计算，并开展设备抗台风强度评估。</w:t>
      </w:r>
    </w:p>
    <w:p>
      <w:pPr>
        <w:keepNext/>
        <w:keepLines/>
        <w:widowControl/>
        <w:spacing w:before="64" w:after="24" w:line="245" w:lineRule="auto"/>
      </w:pPr>
      <w:r>
        <w:rPr>
          <w:rFonts w:ascii="Arial" w:hAnsi="Arial" w:eastAsia="Microsoft YaHei" w:cs="Arial"/>
          <w:b/>
          <w:color w:val="202124"/>
          <w:sz w:val="21"/>
        </w:rPr>
        <w:t>大型薄壁结构运输框架参数化设计与非线性接触分析</w:t>
      </w:r>
      <w:r>
        <w:rPr>
          <w:rFonts w:ascii="Arial" w:hAnsi="Arial" w:eastAsia="Microsoft YaHei" w:cs="Arial"/>
          <w:b w:val="0"/>
          <w:color w:val="5F6368"/>
          <w:sz w:val="21"/>
        </w:rPr>
        <w:t xml:space="preserve">  |  企业横向（保密）｜APDL · 接触 · 自动化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 xml:space="preserve">• </w:t>
      </w:r>
      <w:r>
        <w:rPr>
          <w:rFonts w:ascii="Arial" w:hAnsi="Arial" w:eastAsia="Microsoft YaHei" w:cs="Arial"/>
          <w:b w:val="0"/>
          <w:sz w:val="21"/>
        </w:rPr>
        <w:t>基于APDL建立参数化梁模型，以CONTA177/TARGE170处理多接触约束；开发预弧度优化、自动建模及位移/应力提取模块，形成可复用计算工具。</w:t>
      </w:r>
    </w:p>
    <w:p>
      <w:pPr>
        <w:keepNext/>
        <w:keepLines/>
        <w:widowControl/>
        <w:spacing w:before="64" w:after="24" w:line="245" w:lineRule="auto"/>
      </w:pPr>
      <w:r>
        <w:rPr>
          <w:rFonts w:ascii="Arial" w:hAnsi="Arial" w:eastAsia="Microsoft YaHei" w:cs="Arial"/>
          <w:b/>
          <w:color w:val="202124"/>
          <w:sz w:val="21"/>
        </w:rPr>
        <w:t>鼓泡加湿设备气液多相流及热/质耦合计算</w:t>
      </w:r>
      <w:r>
        <w:rPr>
          <w:rFonts w:ascii="Arial" w:hAnsi="Arial" w:eastAsia="Microsoft YaHei" w:cs="Arial"/>
          <w:b w:val="0"/>
          <w:color w:val="5F6368"/>
          <w:sz w:val="21"/>
        </w:rPr>
        <w:t xml:space="preserve">  |  企业横向｜Fluent · 多相流 · SIMULINK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 xml:space="preserve">• </w:t>
      </w:r>
      <w:r>
        <w:rPr>
          <w:rFonts w:ascii="Arial" w:hAnsi="Arial" w:eastAsia="Microsoft YaHei" w:cs="Arial"/>
          <w:b w:val="0"/>
          <w:sz w:val="21"/>
        </w:rPr>
        <w:t>完成鼓泡区简化与气液两相建模，分析气泡运动、平均直径与粒径分布，并开展流动-传热/传质耦合；结合经验关联式构建SIMULINK快速设计方法。</w:t>
      </w:r>
    </w:p>
    <w:p>
      <w:pPr>
        <w:keepNext/>
        <w:keepLines/>
        <w:widowControl/>
        <w:spacing w:before="64" w:after="24" w:line="245" w:lineRule="auto"/>
      </w:pPr>
      <w:r>
        <w:rPr>
          <w:rFonts w:ascii="Arial" w:hAnsi="Arial" w:eastAsia="Microsoft YaHei" w:cs="Arial"/>
          <w:b/>
          <w:color w:val="202124"/>
          <w:sz w:val="21"/>
        </w:rPr>
        <w:t>复杂端面电极电阻点焊多物理场仿真</w:t>
      </w:r>
      <w:r>
        <w:rPr>
          <w:rFonts w:ascii="Arial" w:hAnsi="Arial" w:eastAsia="Microsoft YaHei" w:cs="Arial"/>
          <w:b w:val="0"/>
          <w:color w:val="5F6368"/>
          <w:sz w:val="21"/>
        </w:rPr>
        <w:t xml:space="preserve">  |  上汽大众｜APDL · 电-热-结构耦合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 xml:space="preserve">• </w:t>
      </w:r>
      <w:r>
        <w:rPr>
          <w:rFonts w:ascii="Arial" w:hAnsi="Arial" w:eastAsia="Microsoft YaHei" w:cs="Arial"/>
          <w:b w:val="0"/>
          <w:sz w:val="21"/>
        </w:rPr>
        <w:t>协助完成纹理化电极参数化建模，以SOLID226开展电-热-结构耦合分析与载荷步求解，并参与打磨后电极表面形貌测量。</w:t>
      </w:r>
    </w:p>
    <w:p>
      <w:pPr>
        <w:keepNext/>
        <w:spacing w:before="100" w:after="56" w:line="240" w:lineRule="auto"/>
        <w:keepLines/>
        <w:widowControl/>
        <w:pBdr>
          <w:bottom w:val="single" w:sz="4" w:space="2" w:color="4F9E9A"/>
        </w:pBdr>
      </w:pPr>
      <w:r>
        <w:rPr>
          <w:rFonts w:ascii="Arial" w:hAnsi="Arial" w:eastAsia="Microsoft YaHei" w:cs="Arial"/>
          <w:b/>
          <w:color w:val="1F7A83"/>
          <w:sz w:val="26"/>
        </w:rPr>
        <w:t>科研成果与荣誉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>• 论文/专利：</w:t>
      </w:r>
      <w:r>
        <w:rPr>
          <w:rFonts w:ascii="Arial" w:hAnsi="Arial" w:eastAsia="Microsoft YaHei" w:cs="Arial"/>
          <w:b w:val="0"/>
          <w:sz w:val="21"/>
        </w:rPr>
        <w:t>第一作者论文4篇（SCI 3篇：International Journal of Hydrogen Energy ×2、Precision Engineering ×1；国际会议1篇）；发明专利3项公开。</w:t>
      </w:r>
    </w:p>
    <w:p>
      <w:pPr>
        <w:keepNext w:val="0"/>
        <w:keepLines/>
        <w:widowControl/>
        <w:spacing w:before="10" w:after="24" w:line="254" w:lineRule="auto"/>
      </w:pPr>
      <w:r>
        <w:rPr>
          <w:rFonts w:ascii="Arial" w:hAnsi="Arial" w:eastAsia="Microsoft YaHei" w:cs="Arial"/>
          <w:b/>
          <w:sz w:val="21"/>
        </w:rPr>
        <w:t>• 荣誉：</w:t>
      </w:r>
      <w:r>
        <w:rPr>
          <w:rFonts w:ascii="Arial" w:hAnsi="Arial" w:eastAsia="Microsoft YaHei" w:cs="Arial"/>
          <w:b w:val="0"/>
          <w:sz w:val="21"/>
        </w:rPr>
        <w:t>2023–2024学年国家奖学金；2024–2025学年开蓝奖学金；同济大学优秀博士生短期出国访学项目资助。</w:t>
      </w:r>
    </w:p>
    <w:sectPr w:rsidR="00FC693F" w:rsidRPr="0006063C" w:rsidSect="00034616">
      <w:pgSz w:w="11906" w:h="16838"/>
      <w:pgMar w:top="539" w:right="680" w:bottom="482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秋招通用简历 - 机械研发 / CAE / CFD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